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1699C4A4" w:rsidR="00A2208A" w:rsidRPr="00B55C47" w:rsidRDefault="00F002EE" w:rsidP="00A2208A">
      <w:pPr>
        <w:tabs>
          <w:tab w:val="center" w:pos="4153"/>
          <w:tab w:val="right" w:pos="9923"/>
        </w:tabs>
        <w:spacing w:after="120" w:line="240" w:lineRule="auto"/>
        <w:jc w:val="both"/>
        <w:rPr>
          <w:rFonts w:eastAsia="Malgun Gothic"/>
          <w:b/>
          <w:bCs/>
          <w:sz w:val="28"/>
          <w:lang w:eastAsia="ko-KR"/>
        </w:rPr>
      </w:pPr>
      <w:r w:rsidRPr="00B55C47">
        <w:rPr>
          <w:rFonts w:eastAsia="Malgun Gothic"/>
          <w:b/>
          <w:bCs/>
          <w:sz w:val="28"/>
        </w:rPr>
        <w:t xml:space="preserve">3GPP TSG RAN WG5 </w:t>
      </w:r>
      <w:r w:rsidR="006B5C72">
        <w:rPr>
          <w:rFonts w:eastAsia="Malgun Gothic"/>
          <w:b/>
          <w:bCs/>
          <w:sz w:val="28"/>
        </w:rPr>
        <w:t>#</w:t>
      </w:r>
      <w:r w:rsidR="00670DF8">
        <w:rPr>
          <w:rFonts w:eastAsia="Malgun Gothic"/>
          <w:b/>
          <w:bCs/>
          <w:sz w:val="28"/>
        </w:rPr>
        <w:t>5-5G-NR Adhoc</w:t>
      </w:r>
      <w:r w:rsidR="00BC6E8D">
        <w:rPr>
          <w:rFonts w:eastAsia="Malgun Gothic"/>
          <w:b/>
          <w:bCs/>
          <w:sz w:val="28"/>
        </w:rPr>
        <w:tab/>
      </w:r>
      <w:r w:rsidR="00A2208A" w:rsidRPr="00C94B58">
        <w:rPr>
          <w:rFonts w:eastAsia="Malgun Gothic"/>
          <w:b/>
          <w:bCs/>
          <w:sz w:val="28"/>
        </w:rPr>
        <w:t>R5-1</w:t>
      </w:r>
      <w:r w:rsidR="00C94B58" w:rsidRPr="00C94B58">
        <w:rPr>
          <w:rFonts w:eastAsia="Malgun Gothic"/>
          <w:b/>
          <w:bCs/>
          <w:sz w:val="28"/>
        </w:rPr>
        <w:t>9</w:t>
      </w:r>
      <w:r w:rsidR="00BF33B1">
        <w:rPr>
          <w:rFonts w:eastAsia="Malgun Gothic"/>
          <w:b/>
          <w:bCs/>
          <w:sz w:val="28"/>
        </w:rPr>
        <w:t>2983</w:t>
      </w:r>
      <w:bookmarkStart w:id="0" w:name="_GoBack"/>
      <w:bookmarkEnd w:id="0"/>
    </w:p>
    <w:p w14:paraId="4A54CA72" w14:textId="0138DC6F" w:rsidR="00A2208A" w:rsidRPr="00B55C47" w:rsidRDefault="00670DF8"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Xi’an</w:t>
      </w:r>
      <w:r w:rsidR="009C4B66">
        <w:rPr>
          <w:rFonts w:eastAsia="Malgun Gothic"/>
          <w:b/>
          <w:bCs/>
          <w:sz w:val="28"/>
          <w:lang w:eastAsia="ko-KR"/>
        </w:rPr>
        <w:t xml:space="preserve">, </w:t>
      </w:r>
      <w:r>
        <w:rPr>
          <w:rFonts w:eastAsia="Malgun Gothic"/>
          <w:b/>
          <w:bCs/>
          <w:sz w:val="28"/>
          <w:lang w:eastAsia="ko-KR"/>
        </w:rPr>
        <w:t>China</w:t>
      </w:r>
      <w:r w:rsidR="009C4B66">
        <w:rPr>
          <w:rFonts w:eastAsia="Malgun Gothic"/>
          <w:b/>
          <w:bCs/>
          <w:sz w:val="28"/>
          <w:lang w:eastAsia="ko-KR"/>
        </w:rPr>
        <w:t xml:space="preserve">, </w:t>
      </w:r>
      <w:r>
        <w:rPr>
          <w:rFonts w:eastAsia="Malgun Gothic"/>
          <w:b/>
          <w:bCs/>
          <w:sz w:val="28"/>
          <w:lang w:eastAsia="ko-KR"/>
        </w:rPr>
        <w:t>9</w:t>
      </w:r>
      <w:r w:rsidR="006B5C72">
        <w:rPr>
          <w:rFonts w:eastAsia="Malgun Gothic"/>
          <w:b/>
          <w:bCs/>
          <w:sz w:val="28"/>
          <w:vertAlign w:val="superscript"/>
          <w:lang w:eastAsia="ko-KR"/>
        </w:rPr>
        <w:t>t</w:t>
      </w:r>
      <w:r w:rsidR="009C4B66">
        <w:rPr>
          <w:rFonts w:eastAsia="Malgun Gothic"/>
          <w:b/>
          <w:bCs/>
          <w:sz w:val="28"/>
          <w:vertAlign w:val="superscript"/>
          <w:lang w:eastAsia="ko-KR"/>
        </w:rPr>
        <w:t>h</w:t>
      </w:r>
      <w:r w:rsidR="00725DCB" w:rsidRPr="00B55C47">
        <w:rPr>
          <w:rFonts w:eastAsia="Malgun Gothic"/>
          <w:b/>
          <w:bCs/>
          <w:sz w:val="28"/>
          <w:lang w:eastAsia="ko-KR"/>
        </w:rPr>
        <w:t xml:space="preserve"> </w:t>
      </w:r>
      <w:r>
        <w:rPr>
          <w:rFonts w:eastAsia="Malgun Gothic"/>
          <w:b/>
          <w:bCs/>
          <w:sz w:val="28"/>
          <w:lang w:eastAsia="ko-KR"/>
        </w:rPr>
        <w:t>– 12</w:t>
      </w:r>
      <w:r w:rsidRPr="00670DF8">
        <w:rPr>
          <w:rFonts w:eastAsia="Malgun Gothic"/>
          <w:b/>
          <w:bCs/>
          <w:sz w:val="28"/>
          <w:vertAlign w:val="superscript"/>
          <w:lang w:eastAsia="ko-KR"/>
        </w:rPr>
        <w:t>th</w:t>
      </w:r>
      <w:r>
        <w:rPr>
          <w:rFonts w:eastAsia="Malgun Gothic"/>
          <w:b/>
          <w:bCs/>
          <w:sz w:val="28"/>
          <w:lang w:eastAsia="ko-KR"/>
        </w:rPr>
        <w:t xml:space="preserve"> April </w:t>
      </w:r>
      <w:r w:rsidR="006B5C72">
        <w:rPr>
          <w:rFonts w:eastAsia="Malgun Gothic"/>
          <w:b/>
          <w:bCs/>
          <w:sz w:val="28"/>
          <w:lang w:eastAsia="ko-KR"/>
        </w:rPr>
        <w:t>2019</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4D56D1A0" w:rsidR="00A2208A" w:rsidRPr="00BC6E8D" w:rsidRDefault="00A2208A" w:rsidP="00A2208A">
      <w:pPr>
        <w:ind w:left="2160" w:hanging="2160"/>
      </w:pPr>
      <w:r w:rsidRPr="00B55C47">
        <w:rPr>
          <w:b/>
        </w:rPr>
        <w:t>Title:</w:t>
      </w:r>
      <w:r w:rsidRPr="00B55C47">
        <w:rPr>
          <w:b/>
        </w:rPr>
        <w:tab/>
      </w:r>
      <w:r w:rsidR="00670DF8" w:rsidRPr="00670DF8">
        <w:t>On the MU contributor gNB uncertainty on absolute level</w:t>
      </w:r>
    </w:p>
    <w:p w14:paraId="0483421E" w14:textId="7D5C28C1" w:rsidR="00A2208A" w:rsidRPr="00B55C47" w:rsidRDefault="00A2208A" w:rsidP="00A2208A">
      <w:pPr>
        <w:rPr>
          <w:bCs/>
          <w:lang w:eastAsia="ja-JP"/>
        </w:rPr>
      </w:pPr>
      <w:r w:rsidRPr="00B55C47">
        <w:rPr>
          <w:b/>
        </w:rPr>
        <w:t>Agenda Item:</w:t>
      </w:r>
      <w:r w:rsidR="00BB2F5E" w:rsidRPr="00B55C47">
        <w:tab/>
      </w:r>
      <w:r w:rsidR="00BB2F5E" w:rsidRPr="00B55C47">
        <w:tab/>
      </w:r>
      <w:r w:rsidR="00670DF8" w:rsidRPr="00670DF8">
        <w:t>4.1.16</w:t>
      </w:r>
    </w:p>
    <w:p w14:paraId="3A8C349E" w14:textId="77777777" w:rsidR="00A2208A" w:rsidRPr="00B55C47" w:rsidRDefault="00A2208A" w:rsidP="00A2208A">
      <w:pPr>
        <w:rPr>
          <w:sz w:val="18"/>
          <w:szCs w:val="18"/>
        </w:rPr>
      </w:pPr>
      <w:r w:rsidRPr="00B55C47">
        <w:rPr>
          <w:b/>
        </w:rPr>
        <w:t>Document for:</w:t>
      </w:r>
      <w:r w:rsidRPr="00B55C47">
        <w:tab/>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170C5840" w14:textId="480C92C6" w:rsidR="00670DF8" w:rsidRDefault="00BB274E" w:rsidP="008159B1">
      <w:pPr>
        <w:jc w:val="both"/>
      </w:pPr>
      <w:bookmarkStart w:id="1" w:name="OLE_LINK10"/>
      <w:bookmarkStart w:id="2" w:name="OLE_LINK11"/>
      <w:r>
        <w:t>One of the missing contributors f</w:t>
      </w:r>
      <w:r w:rsidR="00670DF8">
        <w:t xml:space="preserve">or the completion of the </w:t>
      </w:r>
      <w:r w:rsidR="004D304D">
        <w:t>measurement uncertainty</w:t>
      </w:r>
      <w:r w:rsidR="00670DF8">
        <w:t xml:space="preserve"> of </w:t>
      </w:r>
      <w:r>
        <w:t xml:space="preserve">the </w:t>
      </w:r>
      <w:r w:rsidR="00670DF8">
        <w:t xml:space="preserve">Reference Sensitivity </w:t>
      </w:r>
      <w:r>
        <w:t>test case is “gNB uncertainty on absolute level”</w:t>
      </w:r>
      <w:r w:rsidR="00670DF8">
        <w:t xml:space="preserve">. In this </w:t>
      </w:r>
      <w:r w:rsidR="004D304D">
        <w:t>contribution</w:t>
      </w:r>
      <w:r w:rsidR="00670DF8">
        <w:t>, we p</w:t>
      </w:r>
      <w:r w:rsidR="004D304D">
        <w:t>resent the analysis of</w:t>
      </w:r>
      <w:r w:rsidR="00670DF8">
        <w:t xml:space="preserve"> </w:t>
      </w:r>
      <w:r>
        <w:t xml:space="preserve">this </w:t>
      </w:r>
      <w:r w:rsidR="00670DF8">
        <w:t>MU contributor</w:t>
      </w:r>
      <w:r w:rsidR="004D304D">
        <w:t xml:space="preserve"> for PC3</w:t>
      </w:r>
      <w:r w:rsidR="00670DF8">
        <w:t xml:space="preserve">.  </w:t>
      </w:r>
    </w:p>
    <w:p w14:paraId="59D92B3E" w14:textId="2277EABF" w:rsidR="00FC45FA" w:rsidRDefault="00BC6E8D" w:rsidP="00FC45FA">
      <w:pPr>
        <w:pStyle w:val="berschrift1"/>
        <w:rPr>
          <w:lang w:val="en-US"/>
        </w:rPr>
      </w:pPr>
      <w:r>
        <w:rPr>
          <w:lang w:val="en-US"/>
        </w:rPr>
        <w:t>Discussion</w:t>
      </w:r>
    </w:p>
    <w:p w14:paraId="30A32C2C" w14:textId="0FF055CF" w:rsidR="00670DF8" w:rsidRDefault="00BB274E" w:rsidP="00B3129D">
      <w:r>
        <w:rPr>
          <w:lang w:eastAsia="en-US"/>
        </w:rPr>
        <w:t>The MU contributor “</w:t>
      </w:r>
      <w:r>
        <w:t>gNB uncertainty on absolute level” is defined in clause B.2.1.17 of TR 38.903</w:t>
      </w:r>
      <w:r w:rsidR="00D513F4">
        <w:t xml:space="preserve"> [1] </w:t>
      </w:r>
      <w:r>
        <w:t>as follows</w:t>
      </w:r>
    </w:p>
    <w:p w14:paraId="076F5473" w14:textId="77777777" w:rsidR="00BB274E" w:rsidRPr="00BB274E" w:rsidRDefault="00BB274E" w:rsidP="00BB274E">
      <w:pPr>
        <w:keepNext/>
        <w:keepLines/>
        <w:shd w:val="clear" w:color="auto" w:fill="D9D9D9" w:themeFill="background1" w:themeFillShade="D9"/>
        <w:spacing w:before="120" w:after="180" w:line="240" w:lineRule="auto"/>
        <w:outlineLvl w:val="2"/>
        <w:rPr>
          <w:rFonts w:cs="Times New Roman"/>
          <w:i/>
          <w:sz w:val="28"/>
          <w:szCs w:val="20"/>
          <w:lang w:val="en-GB" w:eastAsia="ja-JP"/>
        </w:rPr>
      </w:pPr>
      <w:bookmarkStart w:id="3" w:name="_Toc532998424"/>
      <w:r w:rsidRPr="00BB274E">
        <w:rPr>
          <w:rFonts w:cs="Times New Roman"/>
          <w:i/>
          <w:sz w:val="28"/>
          <w:szCs w:val="20"/>
          <w:lang w:val="en-GB" w:eastAsia="ja-JP"/>
        </w:rPr>
        <w:t>B.2.1.17</w:t>
      </w:r>
      <w:r w:rsidRPr="00BB274E">
        <w:rPr>
          <w:rFonts w:cs="Times New Roman"/>
          <w:i/>
          <w:sz w:val="28"/>
          <w:szCs w:val="20"/>
          <w:lang w:val="en-GB" w:eastAsia="ja-JP"/>
        </w:rPr>
        <w:tab/>
        <w:t>gNB emulator uncertainty</w:t>
      </w:r>
      <w:bookmarkEnd w:id="3"/>
    </w:p>
    <w:p w14:paraId="550782FD" w14:textId="77777777" w:rsidR="00BB274E" w:rsidRPr="00BB274E" w:rsidRDefault="00BB274E" w:rsidP="00BB274E">
      <w:pPr>
        <w:shd w:val="clear" w:color="auto" w:fill="D9D9D9" w:themeFill="background1" w:themeFillShade="D9"/>
        <w:spacing w:after="180" w:line="240" w:lineRule="auto"/>
        <w:rPr>
          <w:rFonts w:ascii="Times New Roman" w:hAnsi="Times New Roman" w:cs="Times New Roman"/>
          <w:i/>
          <w:sz w:val="20"/>
          <w:szCs w:val="20"/>
          <w:lang w:val="en-GB" w:eastAsia="en-US"/>
        </w:rPr>
      </w:pPr>
      <w:r w:rsidRPr="00BB274E">
        <w:rPr>
          <w:rFonts w:ascii="Times New Roman" w:eastAsia="MS Mincho" w:hAnsi="Times New Roman" w:cs="Times New Roman"/>
          <w:i/>
          <w:sz w:val="20"/>
          <w:szCs w:val="20"/>
          <w:lang w:val="en-GB" w:eastAsia="ja-JP"/>
        </w:rPr>
        <w:t>gN</w:t>
      </w:r>
      <w:r w:rsidRPr="00BB274E">
        <w:rPr>
          <w:rFonts w:ascii="Times New Roman" w:hAnsi="Times New Roman" w:cs="Times New Roman"/>
          <w:i/>
          <w:sz w:val="20"/>
          <w:szCs w:val="20"/>
          <w:lang w:val="en-GB" w:eastAsia="en-US"/>
        </w:rPr>
        <w:t>B</w:t>
      </w:r>
      <w:r w:rsidRPr="00BB274E">
        <w:rPr>
          <w:rFonts w:ascii="Times New Roman" w:eastAsia="MS Mincho" w:hAnsi="Times New Roman" w:cs="Times New Roman"/>
          <w:i/>
          <w:sz w:val="20"/>
          <w:szCs w:val="20"/>
          <w:lang w:val="en-GB" w:eastAsia="ja-JP"/>
        </w:rPr>
        <w:t xml:space="preserve"> e</w:t>
      </w:r>
      <w:r w:rsidRPr="00BB274E">
        <w:rPr>
          <w:rFonts w:ascii="Times New Roman" w:hAnsi="Times New Roman" w:cs="Times New Roman"/>
          <w:i/>
          <w:sz w:val="20"/>
          <w:szCs w:val="20"/>
          <w:lang w:val="en-GB" w:eastAsia="en-US"/>
        </w:rPr>
        <w:t>mulator is used to drive a signal to the horn antenna</w:t>
      </w:r>
      <w:r w:rsidRPr="00BB274E">
        <w:rPr>
          <w:rFonts w:ascii="Times New Roman" w:eastAsia="MS Mincho" w:hAnsi="Times New Roman" w:cs="Times New Roman"/>
          <w:i/>
          <w:sz w:val="20"/>
          <w:szCs w:val="20"/>
          <w:lang w:val="en-GB" w:eastAsia="ja-JP"/>
        </w:rPr>
        <w:t xml:space="preserve"> (via multiple external components such as a switch box, an amplifier and </w:t>
      </w:r>
      <w:r w:rsidRPr="00BB274E">
        <w:rPr>
          <w:rFonts w:ascii="Times New Roman" w:hAnsi="Times New Roman" w:cs="Times New Roman"/>
          <w:i/>
          <w:sz w:val="20"/>
          <w:szCs w:val="20"/>
          <w:lang w:val="en-GB" w:eastAsia="en-US"/>
        </w:rPr>
        <w:t xml:space="preserve"> </w:t>
      </w:r>
      <w:r w:rsidRPr="00BB274E">
        <w:rPr>
          <w:rFonts w:ascii="Times New Roman" w:eastAsia="MS Mincho" w:hAnsi="Times New Roman" w:cs="Times New Roman"/>
          <w:i/>
          <w:sz w:val="20"/>
          <w:szCs w:val="20"/>
          <w:lang w:val="en-GB" w:eastAsia="ja-JP"/>
        </w:rPr>
        <w:t xml:space="preserve">a circulator, etc.) </w:t>
      </w:r>
      <w:r w:rsidRPr="00BB274E">
        <w:rPr>
          <w:rFonts w:ascii="Times New Roman" w:hAnsi="Times New Roman" w:cs="Times New Roman"/>
          <w:i/>
          <w:sz w:val="20"/>
          <w:szCs w:val="20"/>
          <w:lang w:val="en-GB" w:eastAsia="en-US"/>
        </w:rPr>
        <w:t xml:space="preserve">in sensitivity tests either as an absolute level or as a relative level. Receiving device used is typically </w:t>
      </w:r>
      <w:r w:rsidRPr="00BB274E">
        <w:rPr>
          <w:rFonts w:ascii="Times New Roman" w:eastAsia="MS Mincho" w:hAnsi="Times New Roman" w:cs="Times New Roman"/>
          <w:i/>
          <w:sz w:val="20"/>
          <w:szCs w:val="20"/>
          <w:lang w:val="en-GB" w:eastAsia="ja-JP"/>
        </w:rPr>
        <w:t xml:space="preserve">a </w:t>
      </w:r>
      <w:r w:rsidRPr="00BB274E">
        <w:rPr>
          <w:rFonts w:ascii="Times New Roman" w:hAnsi="Times New Roman" w:cs="Times New Roman"/>
          <w:i/>
          <w:sz w:val="20"/>
          <w:szCs w:val="20"/>
          <w:lang w:val="en-GB" w:eastAsia="en-US"/>
        </w:rPr>
        <w:t>UE</w:t>
      </w:r>
      <w:r w:rsidRPr="00BB274E">
        <w:rPr>
          <w:rFonts w:ascii="Times New Roman" w:eastAsia="MS Mincho" w:hAnsi="Times New Roman" w:cs="Times New Roman"/>
          <w:i/>
          <w:sz w:val="20"/>
          <w:szCs w:val="20"/>
          <w:lang w:val="en-GB" w:eastAsia="ja-JP"/>
        </w:rPr>
        <w:t>/phablet/tablet/FWA</w:t>
      </w:r>
      <w:r w:rsidRPr="00BB274E">
        <w:rPr>
          <w:rFonts w:ascii="Times New Roman" w:hAnsi="Times New Roman" w:cs="Times New Roman"/>
          <w:i/>
          <w:sz w:val="20"/>
          <w:szCs w:val="20"/>
          <w:lang w:val="en-GB" w:eastAsia="en-US"/>
        </w:rPr>
        <w:t>. Generally there occurs uncertainty contribution from absolute level accuracy</w:t>
      </w:r>
      <w:r w:rsidRPr="00BB274E">
        <w:rPr>
          <w:rFonts w:ascii="Times New Roman" w:eastAsia="MS Mincho" w:hAnsi="Times New Roman" w:cs="Times New Roman"/>
          <w:i/>
          <w:sz w:val="20"/>
          <w:szCs w:val="20"/>
          <w:lang w:val="en-GB" w:eastAsia="ja-JP"/>
        </w:rPr>
        <w:t>,</w:t>
      </w:r>
      <w:r w:rsidRPr="00BB274E">
        <w:rPr>
          <w:rFonts w:ascii="Times New Roman" w:hAnsi="Times New Roman" w:cs="Times New Roman"/>
          <w:i/>
          <w:sz w:val="20"/>
          <w:szCs w:val="20"/>
          <w:lang w:val="en-GB" w:eastAsia="en-US"/>
        </w:rPr>
        <w:t xml:space="preserve"> </w:t>
      </w:r>
      <w:r w:rsidRPr="00BB274E">
        <w:rPr>
          <w:rFonts w:ascii="Times New Roman" w:eastAsia="MS Mincho" w:hAnsi="Times New Roman" w:cs="Times New Roman"/>
          <w:i/>
          <w:sz w:val="20"/>
          <w:szCs w:val="20"/>
          <w:lang w:val="en-GB" w:eastAsia="ja-JP"/>
        </w:rPr>
        <w:t>non-</w:t>
      </w:r>
      <w:r w:rsidRPr="00BB274E">
        <w:rPr>
          <w:rFonts w:ascii="Times New Roman" w:hAnsi="Times New Roman" w:cs="Times New Roman"/>
          <w:i/>
          <w:sz w:val="20"/>
          <w:szCs w:val="20"/>
          <w:lang w:val="en-GB" w:eastAsia="en-US"/>
        </w:rPr>
        <w:t>linearity</w:t>
      </w:r>
      <w:r w:rsidRPr="00BB274E">
        <w:rPr>
          <w:rFonts w:ascii="Times New Roman" w:eastAsia="MS Mincho" w:hAnsi="Times New Roman" w:cs="Times New Roman"/>
          <w:i/>
          <w:sz w:val="20"/>
          <w:szCs w:val="20"/>
          <w:lang w:val="en-GB" w:eastAsia="ja-JP"/>
        </w:rPr>
        <w:t xml:space="preserve"> and frequency characteristic</w:t>
      </w:r>
      <w:r w:rsidRPr="00BB274E">
        <w:rPr>
          <w:rFonts w:ascii="Times New Roman" w:hAnsi="Times New Roman" w:cs="Times New Roman"/>
          <w:i/>
          <w:sz w:val="20"/>
          <w:szCs w:val="20"/>
          <w:lang w:val="en-GB" w:eastAsia="en-US"/>
        </w:rPr>
        <w:t xml:space="preserve"> of the </w:t>
      </w:r>
      <w:r w:rsidRPr="00BB274E">
        <w:rPr>
          <w:rFonts w:ascii="Times New Roman" w:eastAsia="MS Mincho" w:hAnsi="Times New Roman" w:cs="Times New Roman"/>
          <w:i/>
          <w:sz w:val="20"/>
          <w:szCs w:val="20"/>
          <w:lang w:val="en-GB" w:eastAsia="ja-JP"/>
        </w:rPr>
        <w:t>gNB emulator</w:t>
      </w:r>
      <w:r w:rsidRPr="00BB274E">
        <w:rPr>
          <w:rFonts w:ascii="Times New Roman" w:hAnsi="Times New Roman" w:cs="Times New Roman"/>
          <w:i/>
          <w:sz w:val="20"/>
          <w:szCs w:val="20"/>
          <w:lang w:val="en-GB" w:eastAsia="en-US"/>
        </w:rPr>
        <w:t>.</w:t>
      </w:r>
    </w:p>
    <w:p w14:paraId="1C38FB21" w14:textId="77777777" w:rsidR="00BB274E" w:rsidRPr="00BB274E" w:rsidRDefault="00BB274E" w:rsidP="00BB274E">
      <w:pPr>
        <w:shd w:val="clear" w:color="auto" w:fill="D9D9D9" w:themeFill="background1" w:themeFillShade="D9"/>
        <w:spacing w:after="180" w:line="240" w:lineRule="auto"/>
        <w:rPr>
          <w:rFonts w:ascii="Times New Roman" w:hAnsi="Times New Roman" w:cs="Times New Roman"/>
          <w:i/>
          <w:sz w:val="20"/>
          <w:szCs w:val="20"/>
          <w:lang w:val="en-GB" w:eastAsia="en-US"/>
        </w:rPr>
      </w:pPr>
      <w:r w:rsidRPr="00BB274E">
        <w:rPr>
          <w:rFonts w:ascii="Times New Roman" w:eastAsia="MS Mincho" w:hAnsi="Times New Roman" w:cs="Times New Roman"/>
          <w:i/>
          <w:sz w:val="20"/>
          <w:szCs w:val="20"/>
          <w:lang w:val="en-GB" w:eastAsia="ja-JP"/>
        </w:rPr>
        <w:t xml:space="preserve">For practical reasons, in a case that a VNA is used as calibration equipment, gNB emulator is connected to the system after </w:t>
      </w:r>
      <w:r w:rsidRPr="00BB274E">
        <w:rPr>
          <w:rFonts w:ascii="Times New Roman" w:hAnsi="Times New Roman" w:cs="Times New Roman"/>
          <w:i/>
          <w:sz w:val="20"/>
          <w:szCs w:val="20"/>
          <w:lang w:val="en-GB" w:eastAsia="en-US"/>
        </w:rPr>
        <w:t xml:space="preserve">the calibration measurement (Stage 2) </w:t>
      </w:r>
      <w:r w:rsidRPr="00BB274E">
        <w:rPr>
          <w:rFonts w:ascii="Times New Roman" w:eastAsia="MS Mincho" w:hAnsi="Times New Roman" w:cs="Times New Roman"/>
          <w:i/>
          <w:sz w:val="20"/>
          <w:szCs w:val="20"/>
          <w:lang w:val="en-GB" w:eastAsia="ja-JP"/>
        </w:rPr>
        <w:t>is</w:t>
      </w:r>
      <w:r w:rsidRPr="00BB274E">
        <w:rPr>
          <w:rFonts w:ascii="Times New Roman" w:hAnsi="Times New Roman" w:cs="Times New Roman"/>
          <w:i/>
          <w:sz w:val="20"/>
          <w:szCs w:val="20"/>
          <w:lang w:val="en-GB" w:eastAsia="en-US"/>
        </w:rPr>
        <w:t xml:space="preserve"> performed </w:t>
      </w:r>
      <w:r w:rsidRPr="00BB274E">
        <w:rPr>
          <w:rFonts w:ascii="Times New Roman" w:eastAsia="MS Mincho" w:hAnsi="Times New Roman" w:cs="Times New Roman"/>
          <w:i/>
          <w:sz w:val="20"/>
          <w:szCs w:val="20"/>
          <w:lang w:val="en-GB" w:eastAsia="ja-JP"/>
        </w:rPr>
        <w:t>by the VNA</w:t>
      </w:r>
      <w:r w:rsidRPr="00BB274E">
        <w:rPr>
          <w:rFonts w:ascii="Times New Roman" w:hAnsi="Times New Roman" w:cs="Times New Roman"/>
          <w:i/>
          <w:sz w:val="20"/>
          <w:szCs w:val="20"/>
          <w:lang w:val="en-GB" w:eastAsia="en-US"/>
        </w:rPr>
        <w:t xml:space="preserve">. Hence, the uncertainty on the absolute level of </w:t>
      </w:r>
      <w:r w:rsidRPr="00BB274E">
        <w:rPr>
          <w:rFonts w:ascii="Times New Roman" w:eastAsia="MS Mincho" w:hAnsi="Times New Roman" w:cs="Times New Roman"/>
          <w:i/>
          <w:sz w:val="20"/>
          <w:szCs w:val="20"/>
          <w:lang w:val="en-GB" w:eastAsia="ja-JP"/>
        </w:rPr>
        <w:t>gNB emulator (</w:t>
      </w:r>
      <w:r w:rsidRPr="00BB274E">
        <w:rPr>
          <w:rFonts w:ascii="Times New Roman" w:hAnsi="Times New Roman" w:cs="Times New Roman"/>
          <w:i/>
          <w:sz w:val="20"/>
          <w:szCs w:val="20"/>
          <w:lang w:val="en-GB" w:eastAsia="en-US"/>
        </w:rPr>
        <w:t>transmitter device</w:t>
      </w:r>
      <w:r w:rsidRPr="00BB274E">
        <w:rPr>
          <w:rFonts w:ascii="Times New Roman" w:eastAsia="MS Mincho" w:hAnsi="Times New Roman" w:cs="Times New Roman"/>
          <w:i/>
          <w:sz w:val="20"/>
          <w:szCs w:val="20"/>
          <w:lang w:val="en-GB" w:eastAsia="ja-JP"/>
        </w:rPr>
        <w:t>)</w:t>
      </w:r>
      <w:r w:rsidRPr="00BB274E">
        <w:rPr>
          <w:rFonts w:ascii="Times New Roman" w:hAnsi="Times New Roman" w:cs="Times New Roman"/>
          <w:i/>
          <w:sz w:val="20"/>
          <w:szCs w:val="20"/>
          <w:lang w:val="en-GB" w:eastAsia="en-US"/>
        </w:rPr>
        <w:t xml:space="preserve"> cannot be assumed as systematic. This uncertainty should be calculated from the manufacturer’s data in logs with a rectangular distribution, unless otherwise informed. Furthermore, the uncertainty of the </w:t>
      </w:r>
      <w:r w:rsidRPr="00BB274E">
        <w:rPr>
          <w:rFonts w:ascii="Times New Roman" w:eastAsia="MS Mincho" w:hAnsi="Times New Roman" w:cs="Times New Roman"/>
          <w:i/>
          <w:sz w:val="20"/>
          <w:szCs w:val="20"/>
          <w:lang w:val="en-GB" w:eastAsia="ja-JP"/>
        </w:rPr>
        <w:t>non-</w:t>
      </w:r>
      <w:r w:rsidRPr="00BB274E">
        <w:rPr>
          <w:rFonts w:ascii="Times New Roman" w:hAnsi="Times New Roman" w:cs="Times New Roman"/>
          <w:i/>
          <w:sz w:val="20"/>
          <w:szCs w:val="20"/>
          <w:lang w:val="en-GB" w:eastAsia="en-US"/>
        </w:rPr>
        <w:t>linearity is included in the absolute level uncertainty.</w:t>
      </w:r>
    </w:p>
    <w:p w14:paraId="541F93AC" w14:textId="168723CA" w:rsidR="00BB274E" w:rsidRDefault="000A0D6A" w:rsidP="00B3129D">
      <w:pPr>
        <w:rPr>
          <w:lang w:val="en-GB" w:eastAsia="en-US"/>
        </w:rPr>
      </w:pPr>
      <w:r>
        <w:rPr>
          <w:lang w:val="en-GB" w:eastAsia="en-US"/>
        </w:rPr>
        <w:t>Based on</w:t>
      </w:r>
      <w:r w:rsidR="00BB274E">
        <w:rPr>
          <w:lang w:val="en-GB" w:eastAsia="en-US"/>
        </w:rPr>
        <w:t xml:space="preserve"> </w:t>
      </w:r>
      <w:r w:rsidR="00D513F4" w:rsidRPr="00930A40">
        <w:rPr>
          <w:lang w:val="en-GB" w:eastAsia="en-US"/>
        </w:rPr>
        <w:t>internal measurements of our gNB</w:t>
      </w:r>
      <w:r w:rsidR="00BB274E">
        <w:rPr>
          <w:lang w:val="en-GB" w:eastAsia="en-US"/>
        </w:rPr>
        <w:t xml:space="preserve"> and taking into account the frequency characteristics of </w:t>
      </w:r>
      <w:r w:rsidR="004D304D">
        <w:rPr>
          <w:lang w:val="en-GB" w:eastAsia="en-US"/>
        </w:rPr>
        <w:t>the remaining parts</w:t>
      </w:r>
      <w:r>
        <w:rPr>
          <w:lang w:val="en-GB" w:eastAsia="en-US"/>
        </w:rPr>
        <w:t xml:space="preserve"> of </w:t>
      </w:r>
      <w:r w:rsidR="00BB274E">
        <w:rPr>
          <w:lang w:val="en-GB" w:eastAsia="en-US"/>
        </w:rPr>
        <w:t>the test system, we propose a value of 2.9 dB</w:t>
      </w:r>
      <w:r w:rsidR="00D513F4">
        <w:rPr>
          <w:lang w:val="en-GB" w:eastAsia="en-US"/>
        </w:rPr>
        <w:t xml:space="preserve"> for gNB uncertainty absolute level</w:t>
      </w:r>
      <w:r w:rsidR="00BB274E">
        <w:rPr>
          <w:lang w:val="en-GB" w:eastAsia="en-US"/>
        </w:rPr>
        <w:t>. Compared to the value of 3.34 dB determined by RAN4</w:t>
      </w:r>
      <w:r w:rsidR="004D304D">
        <w:rPr>
          <w:lang w:val="en-GB" w:eastAsia="en-US"/>
        </w:rPr>
        <w:t xml:space="preserve"> in TR</w:t>
      </w:r>
      <w:r w:rsidR="00D513F4">
        <w:rPr>
          <w:lang w:val="en-GB" w:eastAsia="en-US"/>
        </w:rPr>
        <w:t> </w:t>
      </w:r>
      <w:r w:rsidR="004D304D">
        <w:rPr>
          <w:lang w:val="en-GB" w:eastAsia="en-US"/>
        </w:rPr>
        <w:t>38.810</w:t>
      </w:r>
      <w:r w:rsidR="00D513F4">
        <w:rPr>
          <w:lang w:val="en-GB" w:eastAsia="en-US"/>
        </w:rPr>
        <w:t> [2]</w:t>
      </w:r>
      <w:r w:rsidR="00BB274E">
        <w:rPr>
          <w:lang w:val="en-GB" w:eastAsia="en-US"/>
        </w:rPr>
        <w:t>, this is a reduction by 13%.</w:t>
      </w:r>
    </w:p>
    <w:p w14:paraId="7D0ECC09" w14:textId="35B44539" w:rsidR="00BB274E" w:rsidRDefault="00BB274E" w:rsidP="00B3129D">
      <w:pPr>
        <w:rPr>
          <w:b/>
          <w:lang w:val="en-GB" w:eastAsia="en-US"/>
        </w:rPr>
      </w:pPr>
      <w:r w:rsidRPr="00BB274E">
        <w:rPr>
          <w:b/>
          <w:lang w:val="en-GB" w:eastAsia="en-US"/>
        </w:rPr>
        <w:t>Proposal 1: Apply 2.9 dB for the MU contributor “gNB emulator uncertainty absolute level” for the Reference Sensitivity TC</w:t>
      </w:r>
      <w:r w:rsidR="00D513F4">
        <w:rPr>
          <w:b/>
          <w:lang w:val="en-GB" w:eastAsia="en-US"/>
        </w:rPr>
        <w:t xml:space="preserve"> and PC3</w:t>
      </w:r>
      <w:r w:rsidRPr="00BB274E">
        <w:rPr>
          <w:b/>
          <w:lang w:val="en-GB" w:eastAsia="en-US"/>
        </w:rPr>
        <w:t>.</w:t>
      </w:r>
    </w:p>
    <w:p w14:paraId="6BBB3F94" w14:textId="77777777" w:rsidR="00BB274E" w:rsidRPr="00BB274E" w:rsidRDefault="00BB274E" w:rsidP="00B3129D">
      <w:pPr>
        <w:rPr>
          <w:b/>
          <w:lang w:val="en-GB" w:eastAsia="en-US"/>
        </w:rPr>
      </w:pPr>
    </w:p>
    <w:p w14:paraId="71A6D7CC" w14:textId="0E5B43D9" w:rsidR="00BC6E8D" w:rsidRDefault="00BC6E8D" w:rsidP="00BC6E8D">
      <w:pPr>
        <w:pStyle w:val="berschrift1"/>
      </w:pPr>
      <w:r>
        <w:t>Assumptions</w:t>
      </w:r>
    </w:p>
    <w:p w14:paraId="5E469CF2" w14:textId="77777777" w:rsidR="00C77EBF" w:rsidRPr="00C77EBF"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BC6E8D"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F4303E">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F4303E">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F4303E">
            <w:pPr>
              <w:rPr>
                <w:lang w:val="en-GB" w:eastAsia="en-US"/>
              </w:rPr>
            </w:pPr>
            <w:r>
              <w:rPr>
                <w:lang w:val="en-GB" w:eastAsia="en-US"/>
              </w:rPr>
              <w:t>Assumption</w:t>
            </w:r>
          </w:p>
        </w:tc>
      </w:tr>
      <w:tr w:rsidR="00C77EBF" w:rsidRPr="00BC6E8D"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lastRenderedPageBreak/>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544145F3" w:rsidR="00B3129D" w:rsidRPr="00BC6E8D" w:rsidRDefault="00B3129D" w:rsidP="00C77EBF">
            <w:pPr>
              <w:rPr>
                <w:lang w:val="en-GB" w:eastAsia="en-US"/>
              </w:rPr>
            </w:pPr>
            <w:r>
              <w:rPr>
                <w:lang w:val="en-GB" w:eastAsia="en-US"/>
              </w:rPr>
              <w:t>All Rel-15 FR2 bands for in-band measurements</w:t>
            </w:r>
          </w:p>
        </w:tc>
      </w:tr>
      <w:tr w:rsidR="00C77EBF" w:rsidRPr="00BC6E8D"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BC6E8D" w:rsidRDefault="00B3129D" w:rsidP="00C77EBF">
            <w:pPr>
              <w:rPr>
                <w:lang w:val="en-GB" w:eastAsia="en-US"/>
              </w:rPr>
            </w:pPr>
            <w:r>
              <w:rPr>
                <w:lang w:val="en-GB" w:eastAsia="en-US"/>
              </w:rPr>
              <w:t>PC3</w:t>
            </w:r>
          </w:p>
        </w:tc>
      </w:tr>
      <w:tr w:rsidR="00C77EBF" w:rsidRPr="00BC6E8D"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BC6E8D" w:rsidRDefault="00C77EBF" w:rsidP="00C77EBF">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BC6E8D" w:rsidRDefault="00C77EBF" w:rsidP="00B3129D">
            <w:pPr>
              <w:rPr>
                <w:lang w:val="en-GB" w:eastAsia="en-US"/>
              </w:rPr>
            </w:pPr>
            <w:r w:rsidRPr="00BC6E8D">
              <w:rPr>
                <w:lang w:val="en-GB" w:eastAsia="en-US"/>
              </w:rPr>
              <w:t xml:space="preserve">Temperature </w:t>
            </w:r>
            <w:r w:rsidR="00B3129D">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BC6E8D" w:rsidRDefault="004319F5" w:rsidP="00C77EBF">
            <w:pPr>
              <w:rPr>
                <w:lang w:val="en-GB" w:eastAsia="en-US"/>
              </w:rPr>
            </w:pPr>
            <w:r>
              <w:rPr>
                <w:lang w:val="en-GB" w:eastAsia="en-US"/>
              </w:rPr>
              <w:t>20°C – 35</w:t>
            </w:r>
            <w:r w:rsidR="00B3129D">
              <w:rPr>
                <w:lang w:val="en-GB" w:eastAsia="en-US"/>
              </w:rPr>
              <w:t>°C</w:t>
            </w:r>
          </w:p>
        </w:tc>
      </w:tr>
      <w:tr w:rsidR="00C77EBF" w:rsidRPr="00BC6E8D"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BC6E8D" w:rsidRDefault="00C77EBF" w:rsidP="00C77EBF">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BC6E8D" w:rsidRDefault="00B3129D" w:rsidP="00C77EB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C77EBF" w:rsidRPr="00BC6E8D" w:rsidRDefault="00B3129D" w:rsidP="00C77EBF">
            <w:pPr>
              <w:rPr>
                <w:lang w:val="en-GB" w:eastAsia="en-US"/>
              </w:rPr>
            </w:pPr>
            <w:r>
              <w:rPr>
                <w:lang w:val="en-GB" w:eastAsia="en-US"/>
              </w:rPr>
              <w:t>400 MHz</w:t>
            </w:r>
          </w:p>
        </w:tc>
      </w:tr>
    </w:tbl>
    <w:p w14:paraId="003BC964" w14:textId="77777777" w:rsidR="00BC6E8D" w:rsidRPr="00BC6E8D" w:rsidRDefault="00BC6E8D" w:rsidP="00BC6E8D">
      <w:pPr>
        <w:rPr>
          <w:lang w:val="en-GB" w:eastAsia="en-US"/>
        </w:rPr>
      </w:pPr>
    </w:p>
    <w:bookmarkEnd w:id="1"/>
    <w:bookmarkEnd w:id="2"/>
    <w:p w14:paraId="7F705E55" w14:textId="656C3BCF" w:rsidR="00AA56D9" w:rsidRPr="00B55C47" w:rsidRDefault="00AA56D9" w:rsidP="00AA56D9">
      <w:pPr>
        <w:pStyle w:val="berschrift1"/>
        <w:rPr>
          <w:lang w:val="en-US"/>
        </w:rPr>
      </w:pPr>
      <w:r w:rsidRPr="00B55C47">
        <w:rPr>
          <w:lang w:val="en-US"/>
        </w:rPr>
        <w:tab/>
        <w:t>Conclusion</w:t>
      </w:r>
    </w:p>
    <w:p w14:paraId="043F6814" w14:textId="38D20B62" w:rsidR="00AA56D9" w:rsidRDefault="00D00445" w:rsidP="00AA56D9">
      <w:pPr>
        <w:rPr>
          <w:lang w:eastAsia="en-US"/>
        </w:rPr>
      </w:pPr>
      <w:r w:rsidRPr="00B55C47">
        <w:rPr>
          <w:lang w:eastAsia="en-US"/>
        </w:rPr>
        <w:t xml:space="preserve">In summary, </w:t>
      </w:r>
      <w:r w:rsidR="00BB274E">
        <w:rPr>
          <w:lang w:eastAsia="en-US"/>
        </w:rPr>
        <w:t>the MU contributor gNB uncertainty absolute level has been analyzed</w:t>
      </w:r>
      <w:r w:rsidR="00B3129D">
        <w:rPr>
          <w:lang w:eastAsia="en-US"/>
        </w:rPr>
        <w:t>.</w:t>
      </w:r>
    </w:p>
    <w:p w14:paraId="4E6002C8" w14:textId="77777777" w:rsidR="00BB274E" w:rsidRPr="00BB274E" w:rsidRDefault="00BB274E" w:rsidP="00BB274E">
      <w:pPr>
        <w:rPr>
          <w:b/>
          <w:lang w:val="en-GB" w:eastAsia="en-US"/>
        </w:rPr>
      </w:pPr>
      <w:bookmarkStart w:id="4" w:name="_Ref473660868"/>
      <w:bookmarkStart w:id="5" w:name="_Ref473660708"/>
      <w:bookmarkStart w:id="6" w:name="OLE_LINK6"/>
      <w:bookmarkStart w:id="7" w:name="OLE_LINK7"/>
      <w:r w:rsidRPr="00BB274E">
        <w:rPr>
          <w:b/>
          <w:lang w:val="en-GB" w:eastAsia="en-US"/>
        </w:rPr>
        <w:t>Proposal 1: Apply 2.9 dB for the MU contributor “gNB emulator uncertainty absolute level” for the Reference Sensitivity TC.</w:t>
      </w: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p w14:paraId="45B515AA" w14:textId="5C99D750" w:rsidR="00BB274E" w:rsidRDefault="00BB274E" w:rsidP="00BB274E">
      <w:pPr>
        <w:numPr>
          <w:ilvl w:val="0"/>
          <w:numId w:val="4"/>
        </w:numPr>
        <w:tabs>
          <w:tab w:val="left" w:pos="425"/>
        </w:tabs>
        <w:spacing w:after="0" w:line="240" w:lineRule="auto"/>
        <w:rPr>
          <w:rFonts w:asciiTheme="minorHAnsi" w:eastAsiaTheme="minorHAnsi" w:hAnsiTheme="minorHAnsi" w:cstheme="minorBidi"/>
          <w:sz w:val="20"/>
          <w:szCs w:val="20"/>
          <w:lang w:val="en-GB" w:eastAsia="en-US"/>
        </w:rPr>
      </w:pPr>
      <w:r w:rsidRPr="00BB274E">
        <w:rPr>
          <w:rFonts w:asciiTheme="minorHAnsi" w:eastAsiaTheme="minorHAnsi" w:hAnsiTheme="minorHAnsi" w:cstheme="minorBidi"/>
          <w:sz w:val="20"/>
          <w:szCs w:val="20"/>
          <w:lang w:val="en-GB" w:eastAsia="en-US"/>
        </w:rPr>
        <w:t>TR 38.903, V15.</w:t>
      </w:r>
      <w:r>
        <w:rPr>
          <w:rFonts w:asciiTheme="minorHAnsi" w:eastAsiaTheme="minorHAnsi" w:hAnsiTheme="minorHAnsi" w:cstheme="minorBidi"/>
          <w:sz w:val="20"/>
          <w:szCs w:val="20"/>
          <w:lang w:val="en-GB" w:eastAsia="en-US"/>
        </w:rPr>
        <w:t>2</w:t>
      </w:r>
      <w:r w:rsidRPr="00BB274E">
        <w:rPr>
          <w:rFonts w:asciiTheme="minorHAnsi" w:eastAsiaTheme="minorHAnsi" w:hAnsiTheme="minorHAnsi" w:cstheme="minorBidi"/>
          <w:sz w:val="20"/>
          <w:szCs w:val="20"/>
          <w:lang w:val="en-GB" w:eastAsia="en-US"/>
        </w:rPr>
        <w:t xml:space="preserve">.0, 3GPP TSG RAN WG5, </w:t>
      </w:r>
      <w:r>
        <w:rPr>
          <w:rFonts w:asciiTheme="minorHAnsi" w:eastAsiaTheme="minorHAnsi" w:hAnsiTheme="minorHAnsi" w:cstheme="minorBidi"/>
          <w:sz w:val="20"/>
          <w:szCs w:val="20"/>
          <w:lang w:val="en-GB" w:eastAsia="en-US"/>
        </w:rPr>
        <w:t>March 2019</w:t>
      </w:r>
    </w:p>
    <w:p w14:paraId="14E5F07B" w14:textId="21CFF0E9" w:rsidR="004D304D" w:rsidRPr="00BB274E" w:rsidRDefault="004D304D" w:rsidP="00BB274E">
      <w:pPr>
        <w:numPr>
          <w:ilvl w:val="0"/>
          <w:numId w:val="4"/>
        </w:numPr>
        <w:tabs>
          <w:tab w:val="left" w:pos="425"/>
        </w:tabs>
        <w:spacing w:after="0" w:line="240" w:lineRule="auto"/>
        <w:rPr>
          <w:rFonts w:asciiTheme="minorHAnsi" w:eastAsiaTheme="minorHAnsi" w:hAnsiTheme="minorHAnsi" w:cstheme="minorBidi"/>
          <w:sz w:val="20"/>
          <w:szCs w:val="20"/>
          <w:lang w:val="en-GB" w:eastAsia="en-US"/>
        </w:rPr>
      </w:pPr>
      <w:r>
        <w:rPr>
          <w:rFonts w:asciiTheme="minorHAnsi" w:eastAsiaTheme="minorHAnsi" w:hAnsiTheme="minorHAnsi" w:cstheme="minorBidi"/>
          <w:sz w:val="20"/>
          <w:szCs w:val="20"/>
          <w:lang w:val="en-GB" w:eastAsia="en-US"/>
        </w:rPr>
        <w:t>TR 38.810, V16.1.0, 3GPP TSG RAN WG4, December 2018</w:t>
      </w:r>
      <w:bookmarkEnd w:id="4"/>
      <w:bookmarkEnd w:id="5"/>
      <w:bookmarkEnd w:id="6"/>
      <w:bookmarkEnd w:id="7"/>
    </w:p>
    <w:sectPr w:rsidR="004D304D" w:rsidRPr="00BB274E"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958AD" w14:textId="77777777" w:rsidR="00A15D44" w:rsidRDefault="00A15D44" w:rsidP="00371D7D">
      <w:r>
        <w:separator/>
      </w:r>
    </w:p>
  </w:endnote>
  <w:endnote w:type="continuationSeparator" w:id="0">
    <w:p w14:paraId="5D91E7B8" w14:textId="77777777" w:rsidR="00A15D44" w:rsidRDefault="00A15D4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00000287" w:usb1="00000000" w:usb2="00000000" w:usb3="00000000" w:csb0="0000009F" w:csb1="00000000"/>
  </w:font>
  <w:font w:name="Times New Roman">
    <w:altName w:val="Times New Roman PSMT"/>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432A57" w:rsidRDefault="00432A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497DE40" w:rsidR="00432A57" w:rsidRPr="000E7B1E" w:rsidRDefault="00432A5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BF33B1">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432A57" w:rsidRDefault="00432A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E4CB3" w14:textId="77777777" w:rsidR="00A15D44" w:rsidRDefault="00A15D44" w:rsidP="00371D7D">
      <w:r>
        <w:separator/>
      </w:r>
    </w:p>
  </w:footnote>
  <w:footnote w:type="continuationSeparator" w:id="0">
    <w:p w14:paraId="6A1466AB" w14:textId="77777777" w:rsidR="00A15D44" w:rsidRDefault="00A15D44"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432A57" w:rsidRDefault="00432A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432A57" w:rsidRDefault="00432A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432A57" w:rsidRDefault="00432A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3"/>
  </w:num>
  <w:num w:numId="2">
    <w:abstractNumId w:val="4"/>
  </w:num>
  <w:num w:numId="3">
    <w:abstractNumId w:val="1"/>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4187"/>
    <w:rsid w:val="0004547C"/>
    <w:rsid w:val="00045894"/>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0D6A"/>
    <w:rsid w:val="000A262C"/>
    <w:rsid w:val="000A2FB0"/>
    <w:rsid w:val="000A2FE2"/>
    <w:rsid w:val="000A3642"/>
    <w:rsid w:val="000A6628"/>
    <w:rsid w:val="000A70A6"/>
    <w:rsid w:val="000A733C"/>
    <w:rsid w:val="000B0F54"/>
    <w:rsid w:val="000B3739"/>
    <w:rsid w:val="000B663A"/>
    <w:rsid w:val="000B7FC7"/>
    <w:rsid w:val="000C194F"/>
    <w:rsid w:val="000C2BDD"/>
    <w:rsid w:val="000C46D4"/>
    <w:rsid w:val="000C4F6E"/>
    <w:rsid w:val="000C6E65"/>
    <w:rsid w:val="000C7078"/>
    <w:rsid w:val="000C7318"/>
    <w:rsid w:val="000C7565"/>
    <w:rsid w:val="000D0908"/>
    <w:rsid w:val="000D0E8E"/>
    <w:rsid w:val="000D0EAF"/>
    <w:rsid w:val="000D347D"/>
    <w:rsid w:val="000D4A19"/>
    <w:rsid w:val="000D679D"/>
    <w:rsid w:val="000D68AB"/>
    <w:rsid w:val="000D79F1"/>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4085E"/>
    <w:rsid w:val="0014530C"/>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1C91"/>
    <w:rsid w:val="002759B6"/>
    <w:rsid w:val="00276F00"/>
    <w:rsid w:val="00280D58"/>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0EFD"/>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E5C"/>
    <w:rsid w:val="003D34A5"/>
    <w:rsid w:val="003D51E6"/>
    <w:rsid w:val="003D602B"/>
    <w:rsid w:val="003D7784"/>
    <w:rsid w:val="003D7B2C"/>
    <w:rsid w:val="003E12B0"/>
    <w:rsid w:val="003E2565"/>
    <w:rsid w:val="003E5779"/>
    <w:rsid w:val="003F0E6E"/>
    <w:rsid w:val="003F1A78"/>
    <w:rsid w:val="003F2D2A"/>
    <w:rsid w:val="003F6AB7"/>
    <w:rsid w:val="004002C9"/>
    <w:rsid w:val="004033E9"/>
    <w:rsid w:val="004120AE"/>
    <w:rsid w:val="004137F2"/>
    <w:rsid w:val="004149E9"/>
    <w:rsid w:val="00420D58"/>
    <w:rsid w:val="00423201"/>
    <w:rsid w:val="004257E2"/>
    <w:rsid w:val="0043036D"/>
    <w:rsid w:val="004319F5"/>
    <w:rsid w:val="004324FB"/>
    <w:rsid w:val="004325A5"/>
    <w:rsid w:val="00432A57"/>
    <w:rsid w:val="004340EB"/>
    <w:rsid w:val="00434839"/>
    <w:rsid w:val="004372AD"/>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7700"/>
    <w:rsid w:val="004A04A5"/>
    <w:rsid w:val="004A2F58"/>
    <w:rsid w:val="004A3D93"/>
    <w:rsid w:val="004A4033"/>
    <w:rsid w:val="004A5815"/>
    <w:rsid w:val="004A60F7"/>
    <w:rsid w:val="004A79DF"/>
    <w:rsid w:val="004B0619"/>
    <w:rsid w:val="004B0EE9"/>
    <w:rsid w:val="004B4C96"/>
    <w:rsid w:val="004C0EA3"/>
    <w:rsid w:val="004C6EB0"/>
    <w:rsid w:val="004D0D9B"/>
    <w:rsid w:val="004D1D11"/>
    <w:rsid w:val="004D2DCF"/>
    <w:rsid w:val="004D304D"/>
    <w:rsid w:val="004D54FF"/>
    <w:rsid w:val="004D74F3"/>
    <w:rsid w:val="004E02C2"/>
    <w:rsid w:val="004E1ED2"/>
    <w:rsid w:val="004E2925"/>
    <w:rsid w:val="004E3358"/>
    <w:rsid w:val="004E3BCC"/>
    <w:rsid w:val="004E4907"/>
    <w:rsid w:val="004F17EE"/>
    <w:rsid w:val="004F26B4"/>
    <w:rsid w:val="004F27A7"/>
    <w:rsid w:val="004F36A7"/>
    <w:rsid w:val="004F4D21"/>
    <w:rsid w:val="004F593F"/>
    <w:rsid w:val="004F697D"/>
    <w:rsid w:val="004F7D33"/>
    <w:rsid w:val="005023AD"/>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42862"/>
    <w:rsid w:val="005430C7"/>
    <w:rsid w:val="005466D7"/>
    <w:rsid w:val="005478DC"/>
    <w:rsid w:val="00547F1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74348"/>
    <w:rsid w:val="00583905"/>
    <w:rsid w:val="00586465"/>
    <w:rsid w:val="00590023"/>
    <w:rsid w:val="00594B54"/>
    <w:rsid w:val="005964E4"/>
    <w:rsid w:val="005A04AB"/>
    <w:rsid w:val="005A09F0"/>
    <w:rsid w:val="005C1279"/>
    <w:rsid w:val="005C517E"/>
    <w:rsid w:val="005C5210"/>
    <w:rsid w:val="005C576D"/>
    <w:rsid w:val="005C72FD"/>
    <w:rsid w:val="005C7C01"/>
    <w:rsid w:val="005D21DE"/>
    <w:rsid w:val="005D278E"/>
    <w:rsid w:val="005D36C5"/>
    <w:rsid w:val="005D37FD"/>
    <w:rsid w:val="005D3C2A"/>
    <w:rsid w:val="005D4744"/>
    <w:rsid w:val="005D4B7F"/>
    <w:rsid w:val="005D5F80"/>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F1A"/>
    <w:rsid w:val="00667A9C"/>
    <w:rsid w:val="00670CFC"/>
    <w:rsid w:val="00670DF8"/>
    <w:rsid w:val="0067274C"/>
    <w:rsid w:val="00674D96"/>
    <w:rsid w:val="00675624"/>
    <w:rsid w:val="00680FD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3BDA"/>
    <w:rsid w:val="00773C96"/>
    <w:rsid w:val="00773DCA"/>
    <w:rsid w:val="007742E7"/>
    <w:rsid w:val="00776D6B"/>
    <w:rsid w:val="00780B7D"/>
    <w:rsid w:val="00780E10"/>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ADC"/>
    <w:rsid w:val="00803D35"/>
    <w:rsid w:val="008064E5"/>
    <w:rsid w:val="00811A7C"/>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D1D"/>
    <w:rsid w:val="00882425"/>
    <w:rsid w:val="00882780"/>
    <w:rsid w:val="008829FA"/>
    <w:rsid w:val="00882F18"/>
    <w:rsid w:val="00883852"/>
    <w:rsid w:val="00887996"/>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8F7DEB"/>
    <w:rsid w:val="00902D7C"/>
    <w:rsid w:val="009106F9"/>
    <w:rsid w:val="00911FD9"/>
    <w:rsid w:val="00912CC8"/>
    <w:rsid w:val="00914141"/>
    <w:rsid w:val="00916784"/>
    <w:rsid w:val="00916934"/>
    <w:rsid w:val="00917E2E"/>
    <w:rsid w:val="009228BE"/>
    <w:rsid w:val="009247D4"/>
    <w:rsid w:val="0092501E"/>
    <w:rsid w:val="00930456"/>
    <w:rsid w:val="00930A40"/>
    <w:rsid w:val="009316B5"/>
    <w:rsid w:val="009319CB"/>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26B6"/>
    <w:rsid w:val="009943F3"/>
    <w:rsid w:val="0099496E"/>
    <w:rsid w:val="009955B7"/>
    <w:rsid w:val="00997680"/>
    <w:rsid w:val="009A1270"/>
    <w:rsid w:val="009A246E"/>
    <w:rsid w:val="009B1044"/>
    <w:rsid w:val="009B225E"/>
    <w:rsid w:val="009B3EA0"/>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15D44"/>
    <w:rsid w:val="00A20F66"/>
    <w:rsid w:val="00A2208A"/>
    <w:rsid w:val="00A236DD"/>
    <w:rsid w:val="00A24150"/>
    <w:rsid w:val="00A32070"/>
    <w:rsid w:val="00A33A08"/>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3DB3"/>
    <w:rsid w:val="00A73DEC"/>
    <w:rsid w:val="00A76246"/>
    <w:rsid w:val="00A76DBE"/>
    <w:rsid w:val="00A76DEB"/>
    <w:rsid w:val="00A777EC"/>
    <w:rsid w:val="00A802ED"/>
    <w:rsid w:val="00A8281C"/>
    <w:rsid w:val="00A8311E"/>
    <w:rsid w:val="00A83A48"/>
    <w:rsid w:val="00A87C7B"/>
    <w:rsid w:val="00A95090"/>
    <w:rsid w:val="00A9514D"/>
    <w:rsid w:val="00A96690"/>
    <w:rsid w:val="00A97BF8"/>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3E63"/>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7C19"/>
    <w:rsid w:val="00B413A7"/>
    <w:rsid w:val="00B42131"/>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2624"/>
    <w:rsid w:val="00BB0FAA"/>
    <w:rsid w:val="00BB1E78"/>
    <w:rsid w:val="00BB274E"/>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4226"/>
    <w:rsid w:val="00BD4781"/>
    <w:rsid w:val="00BD55A2"/>
    <w:rsid w:val="00BD6319"/>
    <w:rsid w:val="00BD73CC"/>
    <w:rsid w:val="00BE29DD"/>
    <w:rsid w:val="00BE5364"/>
    <w:rsid w:val="00BF1935"/>
    <w:rsid w:val="00BF268B"/>
    <w:rsid w:val="00BF33B1"/>
    <w:rsid w:val="00BF3FA7"/>
    <w:rsid w:val="00BF7A2F"/>
    <w:rsid w:val="00C0043D"/>
    <w:rsid w:val="00C006B0"/>
    <w:rsid w:val="00C0127E"/>
    <w:rsid w:val="00C02E85"/>
    <w:rsid w:val="00C04CEB"/>
    <w:rsid w:val="00C074A2"/>
    <w:rsid w:val="00C12EA5"/>
    <w:rsid w:val="00C142E1"/>
    <w:rsid w:val="00C14F5D"/>
    <w:rsid w:val="00C17423"/>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247"/>
    <w:rsid w:val="00C45B5A"/>
    <w:rsid w:val="00C47016"/>
    <w:rsid w:val="00C478DD"/>
    <w:rsid w:val="00C50026"/>
    <w:rsid w:val="00C5050C"/>
    <w:rsid w:val="00C520BF"/>
    <w:rsid w:val="00C53222"/>
    <w:rsid w:val="00C56860"/>
    <w:rsid w:val="00C572CF"/>
    <w:rsid w:val="00C57CA3"/>
    <w:rsid w:val="00C60D58"/>
    <w:rsid w:val="00C62A0A"/>
    <w:rsid w:val="00C6340E"/>
    <w:rsid w:val="00C665B6"/>
    <w:rsid w:val="00C66AEC"/>
    <w:rsid w:val="00C67824"/>
    <w:rsid w:val="00C70448"/>
    <w:rsid w:val="00C72138"/>
    <w:rsid w:val="00C72ADE"/>
    <w:rsid w:val="00C72DE3"/>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415C"/>
    <w:rsid w:val="00CB4E6E"/>
    <w:rsid w:val="00CB63DF"/>
    <w:rsid w:val="00CB6C80"/>
    <w:rsid w:val="00CC40C2"/>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13F4"/>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4015"/>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524F"/>
    <w:rsid w:val="00DD6E41"/>
    <w:rsid w:val="00DD74FF"/>
    <w:rsid w:val="00DE3025"/>
    <w:rsid w:val="00DE4E25"/>
    <w:rsid w:val="00DE6819"/>
    <w:rsid w:val="00DE6CE9"/>
    <w:rsid w:val="00DF11A3"/>
    <w:rsid w:val="00DF19E8"/>
    <w:rsid w:val="00DF443F"/>
    <w:rsid w:val="00DF66C6"/>
    <w:rsid w:val="00E00CA2"/>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02EE"/>
    <w:rsid w:val="00F00728"/>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3F33"/>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5070"/>
    <w:rsid w:val="00F651F2"/>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C4225-F9F4-4FDD-877D-91F0FDE3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2228</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2019-02-08T06:55:00Z</dcterms:created>
  <dcterms:modified xsi:type="dcterms:W3CDTF">2019-04-02T11:13:00Z</dcterms:modified>
  <cp:category/>
</cp:coreProperties>
</file>